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建设工程法律法规</w:t>
      </w:r>
    </w:p>
    <w:p>
      <w:r>
        <w:rPr>
          <w:rFonts w:ascii="宋体" w:hAnsi="宋体" w:eastAsia="宋体"/>
          <w:sz w:val="24"/>
        </w:rPr>
        <w:t>文婷婷主编；肖能立，季敏副主编；刘颖参编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文婷婷主编；肖能立，季敏副主编；刘颖参编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本书出售、求购地址：https://www.jiaokey.com/book/detail/14404992.html</w:t>
      </w:r>
    </w:p>
    <w:p>
      <w:r>
        <w:t>更多相关图书推荐：https://www.jiaokey.com</w:t>
      </w:r>
    </w:p>
    <w:p>
      <w:r>
        <w:t>文婷婷主编；肖能立，季敏副主编；刘颖参编 其他作品：https://www.jiaokey.com/tag/文婷婷主编；肖能立，季敏副主编；刘颖参编.html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关键词搜索：https://www.jiaokey.com/tag/建设工程法律法规.html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