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土建专业建筑法规与案例分析</w:t>
      </w:r>
    </w:p>
    <w:p>
      <w:r>
        <w:rPr>
          <w:rFonts w:ascii="宋体" w:hAnsi="宋体" w:eastAsia="宋体"/>
          <w:sz w:val="24"/>
        </w:rPr>
        <w:t>赵崇，宋敏，吴俊编；董波副主编；孙玉琢主审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土建专业建筑法规与案例分析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赵崇，宋敏，吴俊编；董波副主编；孙玉琢主审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本书出售、求购地址：https://www.jiaokey.com/book/detail/14404988.html</w:t>
      </w:r>
    </w:p>
    <w:p>
      <w:r>
        <w:t>更多相关图书推荐：https://www.jiaokey.com</w:t>
      </w:r>
    </w:p>
    <w:p>
      <w:r>
        <w:t>赵崇，宋敏，吴俊编；董波副主编；孙玉琢主审 其他作品：https://www.jiaokey.com/tag/赵崇，宋敏，吴俊编；董波副主编；孙玉琢主审.html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关键词搜索：https://www.jiaokey.com/tag/高职高专“十三五”规划教材  土建专业建筑法规与案例分析.html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