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三级  下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人力资源和社会保障部教材办公室，中国就业培训技术指导中心上海分中心，上海市职业技能鉴定中心组织编写；贺雯，傅安球，李凌，樊琪，赵小青编者；傅安球统稿；吴庆麟主审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三级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人力资源和社会保障部教材办公室，中国就业培训技术指导中心上海分中心，上海市职业技能鉴定中心组织编写；贺雯，傅安球，李凌，樊琪，赵小青编者；傅安球统稿；吴庆麟主审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本书出售、求购地址：https://www.jiaokey.com/book/detail/14404864.html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人力资源和社会保障部教材办公室，中国就业培训技术指导中心上海分中心，上海市职业技能鉴定中心组织编写；贺雯，傅安球，李凌，樊琪，赵小青编者；傅安球统稿；吴庆麟主审 其他作品：https://www.jiaokey.com/tag/人力资源和社会保障部教材办公室，中国就业培训技术指导中心上海分中心，上海市职业技能鉴定中心组织编写；贺雯，傅安球，李凌，樊琪，赵小青编者；傅安球统稿；吴庆麟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关键词搜索：https://www.jiaokey.com/tag/心理咨询师  三级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