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管理学基础与实务</w:t>
      </w:r>
    </w:p>
    <w:p>
      <w:r>
        <w:rPr>
          <w:rFonts w:ascii="宋体" w:hAnsi="宋体" w:eastAsia="宋体"/>
          <w:sz w:val="24"/>
        </w:rPr>
        <w:t>郝书俊，王薇主编；刘娟，马卫山，谭诚副主编；姜玉婕，陈赤华，王伟青参编；张文秀主审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郝书俊，王薇主编；刘娟，马卫山，谭诚副主编；姜玉婕，陈赤华，王伟青参编；张文秀主审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本书出售、求购地址：https://www.jiaokey.com/book/detail/14404770.html</w:t>
      </w:r>
    </w:p>
    <w:p>
      <w:r>
        <w:t>更多相关图书推荐：https://www.jiaokey.com</w:t>
      </w:r>
    </w:p>
    <w:p>
      <w:r>
        <w:t>郝书俊，王薇主编；刘娟，马卫山，谭诚副主编；姜玉婕，陈赤华，王伟青参编；张文秀主审 其他作品：https://www.jiaokey.com/tag/郝书俊，王薇主编；刘娟，马卫山，谭诚副主编；姜玉婕，陈赤华，王伟青参编；张文秀主审.html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