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书名：中国金融分权结构与金融体系发展  基于财政分权下金融风险的视角</w:t>
      </w:r>
    </w:p>
    <w:p>
      <w:r>
        <w:t>作者：苗文龙著</w:t>
      </w:r>
    </w:p>
    <w:p>
      <w:r>
        <w:t>出版社：上海：格致出版社</w:t>
      </w:r>
    </w:p>
    <w:p>
      <w:r>
        <w:t>出版日期：2018.04</w:t>
      </w:r>
    </w:p>
    <w:p>
      <w:r>
        <w:t>总页数：168</w:t>
      </w:r>
    </w:p>
    <w:p>
      <w:r>
        <w:t>更多请访问教客网: www.jiaokey.com</w:t>
      </w:r>
    </w:p>
    <w:p>
      <w:r>
        <w:t>中国金融分权结构与金融体系发展  基于财政分权下金融风险的视角 评论地址：https://www.jiaokey.com/book/detail/14404661.html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