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特种铸造</w:t>
      </w:r>
    </w:p>
    <w:p>
      <w:r>
        <w:rPr>
          <w:rFonts w:ascii="宋体" w:hAnsi="宋体" w:eastAsia="宋体"/>
          <w:sz w:val="24"/>
        </w:rPr>
        <w:t>陈维平，李元元主编；罗守靖，黄卫东，樊自田副主编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特种铸造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陈维平，李元元主编；罗守靖，黄卫东，樊自田副主编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本书出售、求购地址：https://www.jiaokey.com/book/detail/14393169.html</w:t>
      </w:r>
    </w:p>
    <w:p>
      <w:r>
        <w:t>更多相关图书推荐：https://www.jiaokey.com</w:t>
      </w:r>
    </w:p>
    <w:p>
      <w:r>
        <w:t>陈维平，李元元主编；罗守靖，黄卫东，樊自田副主编 其他作品：https://www.jiaokey.com/tag/陈维平，李元元主编；罗守靖，黄卫东，樊自田副主编.html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关键词搜索：https://www.jiaokey.com/tag/普通高等教育“十三五”规划教材  特种铸造.html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