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干旱沙漠自然保护区社会服务功能研究</w:t>
      </w:r>
    </w:p>
    <w:p>
      <w:r>
        <w:rPr>
          <w:rFonts w:ascii="宋体" w:hAnsi="宋体" w:eastAsia="宋体"/>
          <w:sz w:val="24"/>
        </w:rPr>
        <w:t>程弘毅著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干旱沙漠自然保护区社会服务功能研究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本书出售、求购地址：https://www.jiaokey.com/book/detail/14391762.html</w:t>
      </w:r>
    </w:p>
    <w:p>
      <w:r>
        <w:t>更多相关图书推荐：https://www.jiaokey.com</w:t>
      </w:r>
    </w:p>
    <w:p>
      <w:r>
        <w:t>程弘毅著 其他作品：https://www.jiaokey.com/tag/程弘毅著.html</w:t>
      </w:r>
    </w:p>
    <w:p>
      <w:r>
        <w:t>中国环境出版社 出版图书：https://www.jiaokey.com/tag/中国环境出版社.html</w:t>
      </w:r>
    </w:p>
    <w:p>
      <w:r>
        <w:t>关键词搜索：https://www.jiaokey.com/tag/干旱沙漠自然保护区社会服务功能研究.html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