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病历书写基本规范详解</w:t>
      </w:r>
    </w:p>
    <w:p>
      <w:r>
        <w:rPr>
          <w:rFonts w:ascii="宋体" w:hAnsi="宋体" w:eastAsia="宋体"/>
          <w:sz w:val="24"/>
        </w:rPr>
        <w:t>韩志海，田光，孙慧男主编；奂剑波，汪文婧，宋立成，陈丽娜，程浩编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病历书写基本规范详解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韩志海，田光，孙慧男主编；奂剑波，汪文婧，宋立成，陈丽娜，程浩编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本书出售、求购地址：https://www.jiaokey.com/book/detail/14391109.html</w:t>
      </w:r>
    </w:p>
    <w:p>
      <w:r>
        <w:t>更多相关图书推荐：https://www.jiaokey.com</w:t>
      </w:r>
    </w:p>
    <w:p>
      <w:r>
        <w:t>韩志海，田光，孙慧男主编；奂剑波，汪文婧，宋立成，陈丽娜，程浩编 其他作品：https://www.jiaokey.com/tag/韩志海，田光，孙慧男主编；奂剑波，汪文婧，宋立成，陈丽娜，程浩编.html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关键词搜索：https://www.jiaokey.com/tag/病历书写基本规范详解.html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