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民事案件案由新释新解与适用指南   第2版   下册</w:t>
      </w:r>
    </w:p>
    <w:p>
      <w:r>
        <w:rPr>
          <w:rFonts w:ascii="宋体" w:hAnsi="宋体" w:eastAsia="宋体"/>
          <w:sz w:val="24"/>
        </w:rPr>
        <w:t>景汉朝主编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民事案件案由新释新解与适用指南   第2版 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景汉朝主编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本书出售、求购地址：https://www.jiaokey.com/book/detail/14382430.html</w:t>
      </w:r>
    </w:p>
    <w:p>
      <w:r>
        <w:t>更多相关图书推荐：https://www.jiaokey.com</w:t>
      </w:r>
    </w:p>
    <w:p>
      <w:r>
        <w:t>景汉朝主编 其他作品：https://www.jiaokey.com/tag/景汉朝主编.html</w:t>
      </w:r>
    </w:p>
    <w:p>
      <w:r>
        <w:t>关键词搜索：https://www.jiaokey.com/tag/民事案件案由新释新解与适用指南   第2版 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