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骂相分别  赣剧</w:t>
      </w:r>
    </w:p>
    <w:p>
      <w:r>
        <w:rPr>
          <w:rFonts w:ascii="宋体" w:hAnsi="宋体" w:eastAsia="宋体"/>
          <w:sz w:val="24"/>
        </w:rPr>
        <w:t>江西省文化局戏曲改进委员会初步审定；徐伯轩执笔整理增订；江西省赣剧团参加讨论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骂相分别  赣剧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江西省文化局戏曲改进委员会初步审定；徐伯轩执笔整理增订；江西省赣剧团参加讨论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本书出售、求购地址：https://www.jiaokey.com/book/detail/14380840.html</w:t>
      </w:r>
    </w:p>
    <w:p>
      <w:r>
        <w:t>更多相关图书推荐：https://www.jiaokey.com</w:t>
      </w:r>
    </w:p>
    <w:p>
      <w:r>
        <w:t>江西省文化局戏曲改进委员会初步审定；徐伯轩执笔整理增订；江西省赣剧团参加讨论 其他作品：https://www.jiaokey.com/tag/江西省文化局戏曲改进委员会初步审定；徐伯轩执笔整理增订；江西省赣剧团参加讨论.html</w:t>
      </w:r>
    </w:p>
    <w:p>
      <w:r>
        <w:t>关键词搜索：https://www.jiaokey.com/tag/骂相分别  赣剧.html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