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新常态下的特色小城镇规划、建设和管理</w:t>
      </w:r>
    </w:p>
    <w:p>
      <w:r>
        <w:rPr>
          <w:rFonts w:ascii="宋体" w:hAnsi="宋体" w:eastAsia="宋体"/>
          <w:sz w:val="24"/>
        </w:rPr>
        <w:t>彭震伟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新常态下的特色小城镇规划、建设和管理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本书出售、求购地址：https://www.jiaokey.com/book/detail/14378272.html</w:t>
      </w:r>
    </w:p>
    <w:p>
      <w:r>
        <w:t>更多相关图书推荐：https://www.jiaokey.com</w:t>
      </w:r>
    </w:p>
    <w:p>
      <w:r>
        <w:t>彭震伟 其他作品：https://www.jiaokey.com/tag/彭震伟.html</w:t>
      </w:r>
    </w:p>
    <w:p>
      <w:r>
        <w:t>关键词搜索：https://www.jiaokey.com/tag/新常态下的特色小城镇规划、建设和管理.html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