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C语言认识交流会交流文章:CC目标高效的几个关键因素</w:t>
      </w:r>
    </w:p>
    <w:p>
      <w:r>
        <w:rPr>
          <w:rFonts w:ascii="宋体" w:hAnsi="宋体" w:eastAsia="宋体"/>
          <w:sz w:val="24"/>
        </w:rPr>
        <w:t>赖翔飞，杨社堂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C语言认识交流会交流文章:CC目标高效的几个关键因素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赖翔飞，杨社堂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本书出售、求购地址：https://www.jiaokey.com/book/detail/14378182.html</w:t>
      </w:r>
    </w:p>
    <w:p>
      <w:r>
        <w:t>更多相关图书推荐：https://www.jiaokey.com</w:t>
      </w:r>
    </w:p>
    <w:p>
      <w:r>
        <w:t>赖翔飞，杨社堂 其他作品：https://www.jiaokey.com/tag/赖翔飞，杨社堂.html</w:t>
      </w:r>
    </w:p>
    <w:p>
      <w:r>
        <w:t>中国科学院沈阳计算技术研究所 出版图书：https://www.jiaokey.com/tag/中国科学院沈阳计算技术研究所.html</w:t>
      </w:r>
    </w:p>
    <w:p>
      <w:r>
        <w:t>关键词搜索：https://www.jiaokey.com/tag/C语言认识交流会交流文章:CC目标高效的几个关键因素.html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