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《马格努森·史帝文斯渔业保护管理法》：美国渔业管理的经验教训  报告</w:t>
      </w:r>
    </w:p>
    <w:p>
      <w:r>
        <w:rPr>
          <w:rFonts w:ascii="宋体" w:hAnsi="宋体" w:eastAsia="宋体"/>
          <w:sz w:val="24"/>
        </w:rPr>
        <w:t>自然资源保护协会编制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《马格努森·史帝文斯渔业保护管理法》：美国渔业管理的经验教训  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自然资源保护协会编制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本书出售、求购地址：https://www.jiaokey.com/book/detail/14377565.html</w:t>
      </w:r>
    </w:p>
    <w:p>
      <w:r>
        <w:t>更多相关图书推荐：https://www.jiaokey.com</w:t>
      </w:r>
    </w:p>
    <w:p>
      <w:r>
        <w:t>自然资源保护协会编制 其他作品：https://www.jiaokey.com/tag/自然资源保护协会编制.html</w:t>
      </w:r>
    </w:p>
    <w:p>
      <w:r>
        <w:t>关键词搜索：https://www.jiaokey.com/tag/《马格努森·史帝文斯渔业保护管理法》：美国渔业管理的经验教训  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