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CRM理论与应用研究</w:t>
      </w:r>
    </w:p>
    <w:p>
      <w:r>
        <w:rPr>
          <w:rFonts w:ascii="宋体" w:hAnsi="宋体" w:eastAsia="宋体"/>
          <w:sz w:val="24"/>
        </w:rPr>
        <w:t>方旸，谷再秋，田艳芬，方苏春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CRM理论与应用研究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方旸，谷再秋，田艳芬，方苏春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本书出售、求购地址：https://www.jiaokey.com/book/detail/14375850.html</w:t>
      </w:r>
    </w:p>
    <w:p>
      <w:r>
        <w:t>更多相关图书推荐：https://www.jiaokey.com</w:t>
      </w:r>
    </w:p>
    <w:p>
      <w:r>
        <w:t>方旸，谷再秋，田艳芬，方苏春 其他作品：https://www.jiaokey.com/tag/方旸，谷再秋，田艳芬，方苏春.html</w:t>
      </w:r>
    </w:p>
    <w:p>
      <w:r>
        <w:t>中国财富出版社 出版图书：https://www.jiaokey.com/tag/中国财富出版社.html</w:t>
      </w:r>
    </w:p>
    <w:p>
      <w:r>
        <w:t>关键词搜索：https://www.jiaokey.com/tag/CRM理论与应用研究.html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