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碳排放交易配额分配制度   基于法学与经济学视角的分析</w:t>
      </w:r>
    </w:p>
    <w:p>
      <w:r>
        <w:rPr>
          <w:rFonts w:ascii="宋体" w:hAnsi="宋体" w:eastAsia="宋体"/>
          <w:sz w:val="24"/>
        </w:rPr>
        <w:t>潘晓滨著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碳排放交易配额分配制度   基于法学与经济学视角的分析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本书出售、求购地址：https://www.jiaokey.com/book/detail/14375759.html</w:t>
      </w:r>
    </w:p>
    <w:p>
      <w:r>
        <w:t>更多相关图书推荐：https://www.jiaokey.com</w:t>
      </w:r>
    </w:p>
    <w:p>
      <w:r>
        <w:t>潘晓滨著 其他作品：https://www.jiaokey.com/tag/潘晓滨著.html</w:t>
      </w:r>
    </w:p>
    <w:p>
      <w:r>
        <w:t>关键词搜索：https://www.jiaokey.com/tag/碳排放交易配额分配制度   基于法学与经济学视角的分析.html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