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环嵩山地区史前聚落分布时空模式及其形成机制</w:t>
      </w:r>
    </w:p>
    <w:p>
      <w:r>
        <w:rPr>
          <w:rFonts w:ascii="宋体" w:hAnsi="宋体" w:eastAsia="宋体"/>
          <w:sz w:val="24"/>
        </w:rPr>
        <w:t>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环嵩山地区史前聚落分布时空模式及其形成机制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本书出售、求购地址：https://www.jiaokey.com/book/detail/14373792.html</w:t>
      </w:r>
    </w:p>
    <w:p>
      <w:r>
        <w:t>更多相关图书推荐：https://www.jiaokey.com</w:t>
      </w:r>
    </w:p>
    <w:p>
      <w:r>
        <w:t>鲁鹏著 其他作品：https://www.jiaokey.com/tag/鲁鹏著.html</w:t>
      </w:r>
    </w:p>
    <w:p>
      <w:r>
        <w:t>关键词搜索：https://www.jiaokey.com/tag/环嵩山地区史前聚落分布时空模式及其形成机制.html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