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部分共产党工人党章程条文分类选编  下</w:t>
      </w:r>
    </w:p>
    <w:p>
      <w:r>
        <w:rPr>
          <w:rFonts w:ascii="宋体" w:hAnsi="宋体" w:eastAsia="宋体"/>
          <w:sz w:val="24"/>
        </w:rPr>
        <w:t>雒树刚，陈绪群，郭夏等著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部分共产党工人党章程条文分类选编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雒树刚，陈绪群，郭夏等著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中共中央党校科研办公室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本书出售、求购地址：https://www.jiaokey.com/book/detail/14368960.html</w:t>
      </w:r>
    </w:p>
    <w:p>
      <w:r>
        <w:t>更多相关图书推荐：https://www.jiaokey.com</w:t>
      </w:r>
    </w:p>
    <w:p>
      <w:r>
        <w:t>雒树刚，陈绪群，郭夏等著 其他作品：https://www.jiaokey.com/tag/雒树刚，陈绪群，郭夏等著.html</w:t>
      </w:r>
    </w:p>
    <w:p>
      <w:r>
        <w:t>中共中央党校科研办公室 出版图书：https://www.jiaokey.com/tag/中共中央党校科研办公室.html</w:t>
      </w:r>
    </w:p>
    <w:p>
      <w:r>
        <w:t>关键词搜索：https://www.jiaokey.com/tag/部分共产党工人党章程条文分类选编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