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商品经济·价值规律  经济杠杆</w:t>
      </w:r>
    </w:p>
    <w:p>
      <w:r>
        <w:rPr>
          <w:rFonts w:ascii="宋体" w:hAnsi="宋体" w:eastAsia="宋体"/>
          <w:sz w:val="24"/>
        </w:rPr>
        <w:t>本论文集编审组编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商品经济·价值规律  经济杠杆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本论文集编审组编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吉林省经济学团体联合会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本书出售、求购地址：https://www.jiaokey.com/book/detail/14368767.html</w:t>
      </w:r>
    </w:p>
    <w:p>
      <w:r>
        <w:t>更多相关图书推荐：https://www.jiaokey.com</w:t>
      </w:r>
    </w:p>
    <w:p>
      <w:r>
        <w:t>本论文集编审组编 其他作品：https://www.jiaokey.com/tag/本论文集编审组编.html</w:t>
      </w:r>
    </w:p>
    <w:p>
      <w:r>
        <w:t>吉林省经济学团体联合会 出版图书：https://www.jiaokey.com/tag/吉林省经济学团体联合会.html</w:t>
      </w:r>
    </w:p>
    <w:p>
      <w:r>
        <w:t>关键词搜索：https://www.jiaokey.com/tag/商品经济·价值规律  经济杠杆.html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