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罗马博尔盖塞美术馆</w:t>
      </w:r>
    </w:p>
    <w:p>
      <w:r>
        <w:rPr>
          <w:rFonts w:ascii="宋体" w:hAnsi="宋体" w:eastAsia="宋体"/>
          <w:sz w:val="24"/>
        </w:rPr>
        <w:t>（意大利）弗朗切斯卡·卡丝特丽雅·马尔凯蒂编著；刘梦子，刘黎亭译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罗马博尔盖塞美术馆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（意大利）弗朗切斯卡·卡丝特丽雅·马尔凯蒂编著；刘梦子，刘黎亭译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本书出售、求购地址：https://www.jiaokey.com/book/detail/14366144.html</w:t>
      </w:r>
    </w:p>
    <w:p>
      <w:r>
        <w:t>更多相关图书推荐：https://www.jiaokey.com</w:t>
      </w:r>
    </w:p>
    <w:p>
      <w:r>
        <w:t>（意大利）弗朗切斯卡·卡丝特丽雅·马尔凯蒂编著；刘梦子，刘黎亭译 其他作品：https://www.jiaokey.com/tag/（意大利）弗朗切斯卡·卡丝特丽雅·马尔凯蒂编著；刘梦子，刘黎亭译.html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罗马博尔盖塞美术馆.html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