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劳资合约、货币冲击与劳动收入占比变化研究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劳资合约、货币冲击与劳动收入占比变化研究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本书出售、求购地址：https://www.jiaokey.com/book/detail/14364809.html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关键词搜索：https://www.jiaokey.com/tag/劳资合约、货币冲击与劳动收入占比变化研究.html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