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基于实物资本与人力资本最佳配置的中国经济潜在增长率研究</w:t>
      </w:r>
    </w:p>
    <w:p>
      <w:r>
        <w:rPr>
          <w:rFonts w:ascii="宋体" w:hAnsi="宋体" w:eastAsia="宋体"/>
          <w:sz w:val="24"/>
        </w:rPr>
        <w:t>乔红芳著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基于实物资本与人力资本最佳配置的中国经济潜在增长率研究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本书出售、求购地址：https://www.jiaokey.com/book/detail/14364237.html</w:t>
      </w:r>
    </w:p>
    <w:p>
      <w:r>
        <w:t>更多相关图书推荐：https://www.jiaokey.com</w:t>
      </w:r>
    </w:p>
    <w:p>
      <w:r>
        <w:t>乔红芳著 其他作品：https://www.jiaokey.com/tag/乔红芳著.html</w:t>
      </w:r>
    </w:p>
    <w:p>
      <w:r>
        <w:t>关键词搜索：https://www.jiaokey.com/tag/基于实物资本与人力资本最佳配置的中国经济潜在增长率研究.html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