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  第3版</w:t>
      </w:r>
    </w:p>
    <w:p>
      <w:r>
        <w:rPr>
          <w:rFonts w:ascii="宋体" w:hAnsi="宋体" w:eastAsia="宋体"/>
          <w:sz w:val="24"/>
        </w:rPr>
        <w:t>肖运本主编；巴瑞琪，肖运本，陈佩文，宋海臣，李漾明，杨祖成，夏鸿庚，彭德华编；姚秀缤秘书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肖运本主编；巴瑞琪，肖运本，陈佩文，宋海臣，李漾明，杨祖成，夏鸿庚，彭德华编；姚秀缤秘书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本书出售、求购地址：https://www.jiaokey.com/book/detail/14363889.html</w:t>
      </w:r>
    </w:p>
    <w:p>
      <w:r>
        <w:t>更多相关图书推荐：https://www.jiaokey.com</w:t>
      </w:r>
    </w:p>
    <w:p>
      <w:r>
        <w:t>肖运本主编；巴瑞琪，肖运本，陈佩文，宋海臣，李漾明，杨祖成，夏鸿庚，彭德华编；姚秀缤秘书 其他作品：https://www.jiaokey.com/tag/肖运本主编；巴瑞琪，肖运本，陈佩文，宋海臣，李漾明，杨祖成，夏鸿庚，彭德华编；姚秀缤秘书.html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关键词搜索：https://www.jiaokey.com/tag/免疫学基础与病原生物学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