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你在大海中永生  周南京教授逝世周年纪念</w:t>
      </w:r>
    </w:p>
    <w:p>
      <w:r>
        <w:rPr>
          <w:rFonts w:ascii="宋体" w:hAnsi="宋体" w:eastAsia="宋体"/>
          <w:sz w:val="24"/>
        </w:rPr>
        <w:t>吕其颖，梁俊祥合编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你在大海中永生  周南京教授逝世周年纪念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吕其颖，梁俊祥合编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本书出售、求购地址：https://www.jiaokey.com/book/detail/14361528.html</w:t>
      </w:r>
    </w:p>
    <w:p>
      <w:r>
        <w:t>更多相关图书推荐：https://www.jiaokey.com</w:t>
      </w:r>
    </w:p>
    <w:p>
      <w:r>
        <w:t>吕其颖，梁俊祥合编 其他作品：https://www.jiaokey.com/tag/吕其颖，梁俊祥合编.html</w:t>
      </w:r>
    </w:p>
    <w:p>
      <w:r>
        <w:t>生活文化基金会 出版图书：https://www.jiaokey.com/tag/生活文化基金会.html</w:t>
      </w:r>
    </w:p>
    <w:p>
      <w:r>
        <w:t>关键词搜索：https://www.jiaokey.com/tag/你在大海中永生  周南京教授逝世周年纪念.html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