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宝宝和宝宝</w:t>
      </w:r>
    </w:p>
    <w:p>
      <w:r>
        <w:rPr>
          <w:rFonts w:ascii="宋体" w:hAnsi="宋体" w:eastAsia="宋体"/>
          <w:sz w:val="24"/>
        </w:rPr>
        <w:t>（意）伊莎贝拉·帕利亚，（意）安娜·劳拉·坎托内著；刘丽译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宝宝和宝宝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（意）伊莎贝拉·帕利亚，（意）安娜·劳拉·坎托内著；刘丽译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本书出售、求购地址：https://www.jiaokey.com/book/detail/14361249.html</w:t>
      </w:r>
    </w:p>
    <w:p>
      <w:r>
        <w:t>更多相关图书推荐：https://www.jiaokey.com</w:t>
      </w:r>
    </w:p>
    <w:p>
      <w:r>
        <w:t>（意）伊莎贝拉·帕利亚，（意）安娜·劳拉·坎托内著；刘丽译 其他作品：https://www.jiaokey.com/tag/（意）伊莎贝拉·帕利亚，（意）安娜·劳拉·坎托内著；刘丽译.html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关键词搜索：https://www.jiaokey.com/tag/宝宝和宝宝.html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