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赢得货币战争  人民币国际化路线图助推“一带一路”与中国的未来</w:t>
      </w:r>
    </w:p>
    <w:p>
      <w:r>
        <w:rPr>
          <w:rFonts w:ascii="宋体" w:hAnsi="宋体" w:eastAsia="宋体"/>
          <w:sz w:val="24"/>
        </w:rPr>
        <w:t>（美）埃斯瓦尔·S.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赢得货币战争  人民币国际化路线图助推“一带一路”与中国的未来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（美）埃斯瓦尔·S.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本书出售、求购地址：https://www.jiaokey.com/book/detail/14359653.html</w:t>
      </w:r>
    </w:p>
    <w:p>
      <w:r>
        <w:t>更多相关图书推荐：https://www.jiaokey.com</w:t>
      </w:r>
    </w:p>
    <w:p>
      <w:r>
        <w:t>（美）埃斯瓦尔·S. 其他作品：https://www.jiaokey.com/tag/（美）埃斯瓦尔·S..html</w:t>
      </w:r>
    </w:p>
    <w:p>
      <w:r>
        <w:t>关键词搜索：https://www.jiaokey.com/tag/赢得货币战争  人民币国际化路线图助推“一带一路”与中国的未来.html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