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新媒体UI视觉界面实训教程</w:t>
      </w:r>
    </w:p>
    <w:p>
      <w:r>
        <w:rPr>
          <w:rFonts w:ascii="宋体" w:hAnsi="宋体" w:eastAsia="宋体"/>
          <w:sz w:val="24"/>
        </w:rPr>
        <w:t>沙旭，徐虹，黄云琴编著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新媒体UI视觉界面实训教程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沙旭，徐虹，黄云琴编著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北京希望电子出版社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本书出售、求购地址：https://www.jiaokey.com/book/detail/14358320.html</w:t>
      </w:r>
    </w:p>
    <w:p>
      <w:r>
        <w:t>更多相关图书推荐：https://www.jiaokey.com</w:t>
      </w:r>
    </w:p>
    <w:p>
      <w:r>
        <w:t>沙旭，徐虹，黄云琴编著 其他作品：https://www.jiaokey.com/tag/沙旭，徐虹，黄云琴编著.html</w:t>
      </w:r>
    </w:p>
    <w:p>
      <w:r>
        <w:t>北京希望电子出版社 出版图书：https://www.jiaokey.com/tag/北京希望电子出版社.html</w:t>
      </w:r>
    </w:p>
    <w:p>
      <w:r>
        <w:t>关键词搜索：https://www.jiaokey.com/tag/新媒体UI视觉界面实训教程.html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