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基于物能代谢视角的生态城市建设研究  以西安为例</w:t>
      </w:r>
    </w:p>
    <w:p>
      <w:r>
        <w:rPr>
          <w:rFonts w:ascii="宋体" w:hAnsi="宋体" w:eastAsia="宋体"/>
          <w:sz w:val="24"/>
        </w:rPr>
        <w:t>沈丽娜著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基于物能代谢视角的生态城市建设研究  以西安为例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本书出售、求购地址：https://www.jiaokey.com/book/detail/14358017.html</w:t>
      </w:r>
    </w:p>
    <w:p>
      <w:r>
        <w:t>更多相关图书推荐：https://www.jiaokey.com</w:t>
      </w:r>
    </w:p>
    <w:p>
      <w:r>
        <w:t>沈丽娜著 其他作品：https://www.jiaokey.com/tag/沈丽娜著.html</w:t>
      </w:r>
    </w:p>
    <w:p>
      <w:r>
        <w:t>关键词搜索：https://www.jiaokey.com/tag/基于物能代谢视角的生态城市建设研究  以西安为例.html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