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外交与国际关系新疆域、新趋势  理论与实践的探索</w:t>
      </w:r>
    </w:p>
    <w:p>
      <w:r>
        <w:rPr>
          <w:rFonts w:ascii="宋体" w:hAnsi="宋体" w:eastAsia="宋体"/>
          <w:sz w:val="24"/>
        </w:rPr>
        <w:t>王逸舟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外交与国际关系新疆域、新趋势  理论与实践的探索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本书出售、求购地址：https://www.jiaokey.com/book/detail/14357238.html</w:t>
      </w:r>
    </w:p>
    <w:p>
      <w:r>
        <w:t>更多相关图书推荐：https://www.jiaokey.com</w:t>
      </w:r>
    </w:p>
    <w:p>
      <w:r>
        <w:t>王逸舟 其他作品：https://www.jiaokey.com/tag/王逸舟.html</w:t>
      </w:r>
    </w:p>
    <w:p>
      <w:r>
        <w:t>关键词搜索：https://www.jiaokey.com/tag/外交与国际关系新疆域、新趋势  理论与实践的探索.html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