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文身狗</w:t>
      </w:r>
    </w:p>
    <w:p>
      <w:r>
        <w:rPr>
          <w:rFonts w:ascii="宋体" w:hAnsi="宋体" w:eastAsia="宋体"/>
          <w:sz w:val="24"/>
        </w:rPr>
        <w:t>（德）保罗·马尔著；李士勋译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文身狗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（德）保罗·马尔著；李士勋译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二十一世纪出版社集团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本书出售、求购地址：https://www.jiaokey.com/book/detail/14355301.html</w:t>
      </w:r>
    </w:p>
    <w:p>
      <w:r>
        <w:t>更多相关图书推荐：https://www.jiaokey.com</w:t>
      </w:r>
    </w:p>
    <w:p>
      <w:r>
        <w:t>（德）保罗·马尔著；李士勋译 其他作品：https://www.jiaokey.com/tag/（德）保罗·马尔著；李士勋译.html</w:t>
      </w:r>
    </w:p>
    <w:p>
      <w:r>
        <w:t>二十一世纪出版社集团 出版图书：https://www.jiaokey.com/tag/二十一世纪出版社集团.html</w:t>
      </w:r>
    </w:p>
    <w:p>
      <w:r>
        <w:t>关键词搜索：https://www.jiaokey.com/tag/文身狗.html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