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利益的追逐与价值的维护  民办教育机构IPO案例全景解析</w:t>
      </w:r>
    </w:p>
    <w:p>
      <w:r>
        <w:rPr>
          <w:rFonts w:ascii="宋体" w:hAnsi="宋体" w:eastAsia="宋体"/>
          <w:sz w:val="24"/>
        </w:rPr>
        <w:t>何周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利益的追逐与价值的维护  民办教育机构IPO案例全景解析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本书出售、求购地址：https://www.jiaokey.com/book/detail/14354127.html</w:t>
      </w:r>
    </w:p>
    <w:p>
      <w:r>
        <w:t>更多相关图书推荐：https://www.jiaokey.com</w:t>
      </w:r>
    </w:p>
    <w:p>
      <w:r>
        <w:t>何周 其他作品：https://www.jiaokey.com/tag/何周.html</w:t>
      </w:r>
    </w:p>
    <w:p>
      <w:r>
        <w:t>关键词搜索：https://www.jiaokey.com/tag/利益的追逐与价值的维护  民办教育机构IPO案例全景解析.html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