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民法总则案例疏义及条文解析</w:t>
      </w:r>
    </w:p>
    <w:p>
      <w:r>
        <w:rPr>
          <w:rFonts w:ascii="宋体" w:hAnsi="宋体" w:eastAsia="宋体"/>
          <w:sz w:val="24"/>
        </w:rPr>
        <w:t>李显冬，郗伟明主编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民法总则案例疏义及条文解析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李显冬，郗伟明主编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中国人民公安大学出版社；群众出版社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本书出售、求购地址：https://www.jiaokey.com/book/detail/14354115.html</w:t>
      </w:r>
    </w:p>
    <w:p>
      <w:r>
        <w:t>更多相关图书推荐：https://www.jiaokey.com</w:t>
      </w:r>
    </w:p>
    <w:p>
      <w:r>
        <w:t>李显冬，郗伟明主编 其他作品：https://www.jiaokey.com/tag/李显冬，郗伟明主编.html</w:t>
      </w:r>
    </w:p>
    <w:p>
      <w:r>
        <w:t>中国人民公安大学出版社；群众出版社 出版图书：https://www.jiaokey.com/tag/中国人民公安大学出版社；群众出版社.html</w:t>
      </w:r>
    </w:p>
    <w:p>
      <w:r>
        <w:t>关键词搜索：https://www.jiaokey.com/tag/民法总则案例疏义及条文解析.html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