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10.0 案例教程  基于工作过程</w:t>
      </w:r>
    </w:p>
    <w:p>
      <w:r>
        <w:rPr>
          <w:rFonts w:ascii="宋体" w:hAnsi="宋体" w:eastAsia="宋体"/>
          <w:sz w:val="24"/>
        </w:rPr>
        <w:t>陆龙福，刘良瑞主编；金鑫，匡焱，罗进生等副主编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10.0 案例教程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陆龙福，刘良瑞主编；金鑫，匡焱，罗进生等副主编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本书出售、求购地址：https://www.jiaokey.com/book/detail/14353866.html</w:t>
      </w:r>
    </w:p>
    <w:p>
      <w:r>
        <w:t>更多相关图书推荐：https://www.jiaokey.com</w:t>
      </w:r>
    </w:p>
    <w:p>
      <w:r>
        <w:t>陆龙福，刘良瑞主编；金鑫，匡焱，罗进生等副主编 其他作品：https://www.jiaokey.com/tag/陆龙福，刘良瑞主编；金鑫，匡焱，罗进生等副主编.html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10.0 案例教程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