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地方政府行为对区域品牌发展的影响因素及作用机理研究</w:t>
      </w:r>
    </w:p>
    <w:p>
      <w:r>
        <w:rPr>
          <w:rFonts w:ascii="宋体" w:hAnsi="宋体" w:eastAsia="宋体"/>
          <w:sz w:val="24"/>
        </w:rPr>
        <w:t>雷亮著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地方政府行为对区域品牌发展的影响因素及作用机理研究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本书出售、求购地址：https://www.jiaokey.com/book/detail/14353704.html</w:t>
      </w:r>
    </w:p>
    <w:p>
      <w:r>
        <w:t>更多相关图书推荐：https://www.jiaokey.com</w:t>
      </w:r>
    </w:p>
    <w:p>
      <w:r>
        <w:t>雷亮著 其他作品：https://www.jiaokey.com/tag/雷亮著.html</w:t>
      </w:r>
    </w:p>
    <w:p>
      <w:r>
        <w:t>关键词搜索：https://www.jiaokey.com/tag/地方政府行为对区域品牌发展的影响因素及作用机理研究.html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