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成吉思汗与今日世界之形成</w:t>
      </w:r>
    </w:p>
    <w:p>
      <w:r>
        <w:rPr>
          <w:rFonts w:ascii="宋体" w:hAnsi="宋体" w:eastAsia="宋体"/>
          <w:sz w:val="24"/>
        </w:rPr>
        <w:t>（美）杰克·威泽弗德著；温海清，姚建根译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成吉思汗与今日世界之形成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（美）杰克·威泽弗德著；温海清，姚建根译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本书出售、求购地址：https://www.jiaokey.com/book/detail/14351763.html</w:t>
      </w:r>
    </w:p>
    <w:p>
      <w:r>
        <w:t>更多相关图书推荐：https://www.jiaokey.com</w:t>
      </w:r>
    </w:p>
    <w:p>
      <w:r>
        <w:t>（美）杰克·威泽弗德著；温海清，姚建根译 其他作品：https://www.jiaokey.com/tag/（美）杰克·威泽弗德著；温海清，姚建根译.html</w:t>
      </w:r>
    </w:p>
    <w:p>
      <w:r>
        <w:t>重庆出版集团；重庆出版社 出版图书：https://www.jiaokey.com/tag/重庆出版集团；重庆出版社.html</w:t>
      </w:r>
    </w:p>
    <w:p>
      <w:r>
        <w:t>关键词搜索：https://www.jiaokey.com/tag/成吉思汗与今日世界之形成.html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