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纸月亮</w:t>
      </w:r>
    </w:p>
    <w:p>
      <w:r>
        <w:rPr>
          <w:rFonts w:ascii="宋体" w:hAnsi="宋体" w:eastAsia="宋体"/>
          <w:sz w:val="24"/>
        </w:rPr>
        <w:t>（意）安德烈亚·卡米莱里著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17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（意）安德烈亚·卡米莱里著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本书出售、求购地址：https://www.jiaokey.com/book/detail/14351759.html</w:t>
      </w:r>
    </w:p>
    <w:p>
      <w:r>
        <w:t>更多相关图书推荐：https://www.jiaokey.com</w:t>
      </w:r>
    </w:p>
    <w:p>
      <w:r>
        <w:t>（意）安德烈亚·卡米莱里著 其他作品：https://www.jiaokey.com/tag/（意）安德烈亚·卡米莱里著.html</w:t>
      </w:r>
    </w:p>
    <w:p>
      <w:r>
        <w:t>北京:新华出版社,2018.03 出版图书：https://www.jiaokey.com/tag/北京:新华出版社,2018.03.html</w:t>
      </w:r>
    </w:p>
    <w:p>
      <w:r>
        <w:t>关键词搜索：https://www.jiaokey.com/tag/长篇小说-意大利-现代.html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