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最高人民法院关于公司法解释  3  清算纪要理解与适用  注释版</w:t>
      </w:r>
    </w:p>
    <w:p>
      <w:r>
        <w:rPr>
          <w:rFonts w:ascii="宋体" w:hAnsi="宋体" w:eastAsia="宋体"/>
          <w:sz w:val="24"/>
        </w:rPr>
        <w:t>最高人民法院民事审判第二庭编著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最高人民法院关于公司法解释  3  清算纪要理解与适用  注释版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最高人民法院民事审判第二庭编著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本书出售、求购地址：https://www.jiaokey.com/book/detail/14350452.html</w:t>
      </w:r>
    </w:p>
    <w:p>
      <w:r>
        <w:t>更多相关图书推荐：https://www.jiaokey.com</w:t>
      </w:r>
    </w:p>
    <w:p>
      <w:r>
        <w:t>最高人民法院民事审判第二庭编著 其他作品：https://www.jiaokey.com/tag/最高人民法院民事审判第二庭编著.html</w:t>
      </w:r>
    </w:p>
    <w:p>
      <w:r>
        <w:t>关键词搜索：https://www.jiaokey.com/tag/最高人民法院关于公司法解释  3  清算纪要理解与适用  注释版.html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