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2014  上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本书出售、求购地址：https://www.jiaokey.com/book/detail/14350433.html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关键词搜索：https://www.jiaokey.com/tag/最高人民法院商事审判指导案例  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