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犯罪的二次性违法理论与实践  兼以刑民交叉类案例为实践对象</w:t>
      </w:r>
    </w:p>
    <w:p>
      <w:r>
        <w:rPr>
          <w:rFonts w:ascii="宋体" w:hAnsi="宋体" w:eastAsia="宋体"/>
          <w:sz w:val="24"/>
        </w:rPr>
        <w:t>杨兴培编著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犯罪的二次性违法理论与实践  兼以刑民交叉类案例为实践对象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本书出售、求购地址：https://www.jiaokey.com/book/detail/14349997.html</w:t>
      </w:r>
    </w:p>
    <w:p>
      <w:r>
        <w:t>更多相关图书推荐：https://www.jiaokey.com</w:t>
      </w:r>
    </w:p>
    <w:p>
      <w:r>
        <w:t>杨兴培编著 其他作品：https://www.jiaokey.com/tag/杨兴培编著.html</w:t>
      </w:r>
    </w:p>
    <w:p>
      <w:r>
        <w:t>关键词搜索：https://www.jiaokey.com/tag/犯罪的二次性违法理论与实践  兼以刑民交叉类案例为实践对象.html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