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最高人民法院商事审判指导案例  2014  下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最高人民法院商事审判指导案例  2014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本书出售、求购地址：https://www.jiaokey.com/book/detail/14349049.html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关键词搜索：https://www.jiaokey.com/tag/最高人民法院商事审判指导案例  2014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