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眼科基本技术标准操作流程</w:t>
      </w:r>
    </w:p>
    <w:p>
      <w:r>
        <w:rPr>
          <w:rFonts w:ascii="宋体" w:hAnsi="宋体" w:eastAsia="宋体"/>
          <w:sz w:val="24"/>
        </w:rPr>
        <w:t>林晓峰主编；卓业鸿，郑丹莹，丁小燕副主编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眼科基本技术标准操作流程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林晓峰主编；卓业鸿，郑丹莹，丁小燕副主编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本书出售、求购地址：https://www.jiaokey.com/book/detail/14348656.html</w:t>
      </w:r>
    </w:p>
    <w:p>
      <w:r>
        <w:t>更多相关图书推荐：https://www.jiaokey.com</w:t>
      </w:r>
    </w:p>
    <w:p>
      <w:r>
        <w:t>林晓峰主编；卓业鸿，郑丹莹，丁小燕副主编 其他作品：https://www.jiaokey.com/tag/林晓峰主编；卓业鸿，郑丹莹，丁小燕副主编.html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关键词搜索：https://www.jiaokey.com/tag/眼科基本技术标准操作流程.html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