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商业物价讲稿</w:t>
      </w:r>
    </w:p>
    <w:p>
      <w:r>
        <w:rPr>
          <w:rFonts w:ascii="宋体" w:hAnsi="宋体" w:eastAsia="宋体"/>
          <w:sz w:val="24"/>
        </w:rPr>
        <w:t>童宛生，李庭坚编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商业物价讲稿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童宛生，李庭坚编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本书出售、求购地址：https://www.jiaokey.com/book/detail/14345794.html</w:t>
      </w:r>
    </w:p>
    <w:p>
      <w:r>
        <w:t>更多相关图书推荐：https://www.jiaokey.com</w:t>
      </w:r>
    </w:p>
    <w:p>
      <w:r>
        <w:t>童宛生，李庭坚编 其他作品：https://www.jiaokey.com/tag/童宛生，李庭坚编.html</w:t>
      </w:r>
    </w:p>
    <w:p>
      <w:r>
        <w:t>北京商学院学报编辑部 出版图书：https://www.jiaokey.com/tag/北京商学院学报编辑部.html</w:t>
      </w:r>
    </w:p>
    <w:p>
      <w:r>
        <w:t>关键词搜索：https://www.jiaokey.com/tag/商业物价讲稿.html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