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大法官交错任期制之宪政破窗</w:t>
      </w:r>
    </w:p>
    <w:p>
      <w:r>
        <w:rPr>
          <w:rFonts w:ascii="宋体" w:hAnsi="宋体" w:eastAsia="宋体"/>
          <w:sz w:val="24"/>
        </w:rPr>
        <w:t>洪英花作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大法官交错任期制之宪政破窗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洪英花作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法治时报社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本书出售、求购地址：https://www.jiaokey.com/book/detail/14343830.html</w:t>
      </w:r>
    </w:p>
    <w:p>
      <w:r>
        <w:t>更多相关图书推荐：https://www.jiaokey.com</w:t>
      </w:r>
    </w:p>
    <w:p>
      <w:r>
        <w:t>洪英花作 其他作品：https://www.jiaokey.com/tag/洪英花作.html</w:t>
      </w:r>
    </w:p>
    <w:p>
      <w:r>
        <w:t>法治时报社 出版图书：https://www.jiaokey.com/tag/法治时报社.html</w:t>
      </w:r>
    </w:p>
    <w:p>
      <w:r>
        <w:t>关键词搜索：https://www.jiaokey.com/tag/大法官交错任期制之宪政破窗.html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