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行政诉讼权保障之现代意义  2  日本与台湾行政法之比较研究</w:t>
      </w:r>
    </w:p>
    <w:p>
      <w:r>
        <w:rPr>
          <w:rFonts w:ascii="宋体" w:hAnsi="宋体" w:eastAsia="宋体"/>
          <w:sz w:val="24"/>
        </w:rPr>
        <w:t>阙铭富著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行政诉讼权保障之现代意义  2  日本与台湾行政法之比较研究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阙铭富著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台湾论证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本书出售、求购地址：https://www.jiaokey.com/book/detail/14343743.html</w:t>
      </w:r>
    </w:p>
    <w:p>
      <w:r>
        <w:t>更多相关图书推荐：https://www.jiaokey.com</w:t>
      </w:r>
    </w:p>
    <w:p>
      <w:r>
        <w:t>阙铭富著 其他作品：https://www.jiaokey.com/tag/阙铭富著.html</w:t>
      </w:r>
    </w:p>
    <w:p>
      <w:r>
        <w:t>台湾论证 出版图书：https://www.jiaokey.com/tag/台湾论证.html</w:t>
      </w:r>
    </w:p>
    <w:p>
      <w:r>
        <w:t>关键词搜索：https://www.jiaokey.com/tag/行政诉讼权保障之现代意义  2  日本与台湾行政法之比较研究.html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