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当代理工科大学生文化素质教育面临的挑战与对策</w:t>
      </w:r>
    </w:p>
    <w:p>
      <w:r>
        <w:rPr>
          <w:rFonts w:ascii="宋体" w:hAnsi="宋体" w:eastAsia="宋体"/>
          <w:sz w:val="24"/>
        </w:rPr>
        <w:t>朱鸿亮，艾军著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当代理工科大学生文化素质教育面临的挑战与对策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朱鸿亮，艾军著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西安：陕西人民教育出版社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本书出售、求购地址：https://www.jiaokey.com/book/detail/14342889.html</w:t>
      </w:r>
    </w:p>
    <w:p>
      <w:r>
        <w:t>更多相关图书推荐：https://www.jiaokey.com</w:t>
      </w:r>
    </w:p>
    <w:p>
      <w:r>
        <w:t>朱鸿亮，艾军著 其他作品：https://www.jiaokey.com/tag/朱鸿亮，艾军著.html</w:t>
      </w:r>
    </w:p>
    <w:p>
      <w:r>
        <w:t>西安：陕西人民教育出版社 出版图书：https://www.jiaokey.com/tag/西安：陕西人民教育出版社.html</w:t>
      </w:r>
    </w:p>
    <w:p>
      <w:r>
        <w:t>关键词搜索：https://www.jiaokey.com/tag/当代理工科大学生文化素质教育面临的挑战与对策.html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