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吕留良纪念集  1683-2003</w:t>
      </w:r>
    </w:p>
    <w:p>
      <w:r>
        <w:rPr>
          <w:rFonts w:ascii="宋体" w:hAnsi="宋体" w:eastAsia="宋体"/>
          <w:sz w:val="24"/>
        </w:rPr>
        <w:t>桐乡市文体局等编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吕留良纪念集  1683-2003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桐乡市文体局等编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桐乡市文体局·文联崇福镇党委·政府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本书出售、求购地址：https://www.jiaokey.com/book/detail/14342849.html</w:t>
      </w:r>
    </w:p>
    <w:p>
      <w:r>
        <w:t>更多相关图书推荐：https://www.jiaokey.com</w:t>
      </w:r>
    </w:p>
    <w:p>
      <w:r>
        <w:t>桐乡市文体局等编 其他作品：https://www.jiaokey.com/tag/桐乡市文体局等编.html</w:t>
      </w:r>
    </w:p>
    <w:p>
      <w:r>
        <w:t>桐乡市文体局·文联崇福镇党委·政府 出版图书：https://www.jiaokey.com/tag/桐乡市文体局·文联崇福镇党委·政府.html</w:t>
      </w:r>
    </w:p>
    <w:p>
      <w:r>
        <w:t>关键词搜索：https://www.jiaokey.com/tag/吕留良纪念集  1683-2003.html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