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北山地区基本构造格局及优势矿产资源潜力  甘肃营毛沱地区矿调成果集成与拓展</w:t>
      </w:r>
    </w:p>
    <w:p>
      <w:r>
        <w:rPr>
          <w:rFonts w:ascii="宋体" w:hAnsi="宋体" w:eastAsia="宋体"/>
          <w:sz w:val="24"/>
        </w:rPr>
        <w:t>杨建国，谢春林，王小红，李行，谢燮等著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北山地区基本构造格局及优势矿产资源潜力  甘肃营毛沱地区矿调成果集成与拓展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杨建国，谢春林，王小红，李行，谢燮等著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本书出售、求购地址：https://www.jiaokey.com/book/detail/14339464.html</w:t>
      </w:r>
    </w:p>
    <w:p>
      <w:r>
        <w:t>更多相关图书推荐：https://www.jiaokey.com</w:t>
      </w:r>
    </w:p>
    <w:p>
      <w:r>
        <w:t>杨建国，谢春林，王小红，李行，谢燮等著 其他作品：https://www.jiaokey.com/tag/杨建国，谢春林，王小红，李行，谢燮等著.html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关键词搜索：https://www.jiaokey.com/tag/北山地区基本构造格局及优势矿产资源潜力  甘肃营毛沱地区矿调成果集成与拓展.html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