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我国地方软法治理的规制研究  基于“红头文件”现象的考察和论证</w:t>
      </w:r>
    </w:p>
    <w:p>
      <w:r>
        <w:rPr>
          <w:rFonts w:ascii="宋体" w:hAnsi="宋体" w:eastAsia="宋体"/>
          <w:sz w:val="24"/>
        </w:rPr>
        <w:t>段海风著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我国地方软法治理的规制研究  基于“红头文件”现象的考察和论证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段海风著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本书出售、求购地址：https://www.jiaokey.com/book/detail/14338216.html</w:t>
      </w:r>
    </w:p>
    <w:p>
      <w:r>
        <w:t>更多相关图书推荐：https://www.jiaokey.com</w:t>
      </w:r>
    </w:p>
    <w:p>
      <w:r>
        <w:t>段海风著 其他作品：https://www.jiaokey.com/tag/段海风著.html</w:t>
      </w:r>
    </w:p>
    <w:p>
      <w:r>
        <w:t>北京：人民日报出版社 出版图书：https://www.jiaokey.com/tag/北京：人民日报出版社.html</w:t>
      </w:r>
    </w:p>
    <w:p>
      <w:r>
        <w:t>关键词搜索：https://www.jiaokey.com/tag/我国地方软法治理的规制研究  基于“红头文件”现象的考察和论证.html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