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新媒体传播与舆论引导</w:t>
      </w:r>
    </w:p>
    <w:p>
      <w:r>
        <w:rPr>
          <w:rFonts w:ascii="宋体" w:hAnsi="宋体" w:eastAsia="宋体"/>
          <w:sz w:val="24"/>
        </w:rPr>
        <w:t>常松，胡靖主编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新媒体传播与舆论引导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常松，胡靖主编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本书出售、求购地址：https://www.jiaokey.com/book/detail/14335768.html</w:t>
      </w:r>
    </w:p>
    <w:p>
      <w:r>
        <w:t>更多相关图书推荐：https://www.jiaokey.com</w:t>
      </w:r>
    </w:p>
    <w:p>
      <w:r>
        <w:t>常松，胡靖主编 其他作品：https://www.jiaokey.com/tag/常松，胡靖主编.html</w:t>
      </w:r>
    </w:p>
    <w:p>
      <w:r>
        <w:t>安徽师范大学出版社 出版图书：https://www.jiaokey.com/tag/安徽师范大学出版社.html</w:t>
      </w:r>
    </w:p>
    <w:p>
      <w:r>
        <w:t>关键词搜索：https://www.jiaokey.com/tag/新媒体传播与舆论引导.html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