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民用运力国防动员条例</w:t>
      </w:r>
    </w:p>
    <w:p>
      <w:r>
        <w:rPr>
          <w:rFonts w:ascii="宋体" w:hAnsi="宋体" w:eastAsia="宋体"/>
          <w:sz w:val="24"/>
        </w:rPr>
        <w:t>《民用运力国防动员条例》释义编委会编著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民用运力国防动员条例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《民用运力国防动员条例》释义编委会编著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本书出售、求购地址：https://www.jiaokey.com/book/detail/14334621.html</w:t>
      </w:r>
    </w:p>
    <w:p>
      <w:r>
        <w:t>更多相关图书推荐：https://www.jiaokey.com</w:t>
      </w:r>
    </w:p>
    <w:p>
      <w:r>
        <w:t>《民用运力国防动员条例》释义编委会编著 其他作品：https://www.jiaokey.com/tag/《民用运力国防动员条例》释义编委会编著.html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关键词搜索：https://www.jiaokey.com/tag/民用运力国防动员条例.html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