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政府信息公开的例外研究</w:t>
      </w:r>
    </w:p>
    <w:p>
      <w:r>
        <w:rPr>
          <w:rFonts w:ascii="宋体" w:hAnsi="宋体" w:eastAsia="宋体"/>
          <w:sz w:val="24"/>
        </w:rPr>
        <w:t>申静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政府信息公开的例外研究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9787519704346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国家行政机关-信息管理-研究-中国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国家机关工作与人事管理</w:t>
            </w:r>
          </w:p>
        </w:tc>
      </w:tr>
    </w:tbl>
    <w:p/>
    <w:p>
      <w:pPr>
        <w:pStyle w:val="Heading1"/>
      </w:pPr>
      <w:r>
        <w:t>图书介绍</w:t>
      </w:r>
    </w:p>
    <w:p>
      <w:r>
        <w:t>针对信息公开立法和实践中所存在的问题，笔者对政府信息公开的例外事项分章节进行研究，包括国家秘密、商业秘密、个人信息、内部信息、过程性信息、执法信息。力求对上述豁免事项进行科学界定、厘清其范围，确立判断标准。在信息公开中需要运用公共利益衡量和征求第三方意见制度。例外规则具有复杂性，“一刀切”式的做法无法满足实践需求。针对每个信息，合理运用利益衡量及征求第三方意见制度，方能实现个案裁量正义。</w:t>
      </w:r>
    </w:p>
    <w:p/>
    <w:p>
      <w:r>
        <w:t>本书出售、求购地址：https://www.jiaokey.com/book/detail/14332037.html</w:t>
      </w:r>
    </w:p>
    <w:p>
      <w:r>
        <w:t>更多国家机关工作与人事管理图书推荐：https://www.jiaokey.com</w:t>
      </w:r>
    </w:p>
    <w:p>
      <w:r>
        <w:t>申静 其他作品：https://www.jiaokey.com/tag/申静.html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关键词搜索：https://www.jiaokey.com/tag/国家行政机关-信息管理-研究-中国.html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